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18" w:rsidRPr="00A92918" w:rsidRDefault="00A92918" w:rsidP="00A929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E L A C I O N</w:t>
      </w:r>
    </w:p>
    <w:p w:rsidR="00A92918" w:rsidRPr="00A92918" w:rsidRDefault="00A92918" w:rsidP="00A9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</w:t>
      </w:r>
    </w:p>
    <w:p w:rsidR="00A92918" w:rsidRPr="00A92918" w:rsidRDefault="00A92918" w:rsidP="00A9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PROJEKTLIGJIN</w:t>
      </w:r>
    </w:p>
    <w:p w:rsidR="00A92918" w:rsidRPr="00A92918" w:rsidRDefault="00A92918" w:rsidP="00A9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A92918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“PËR DISA SHTESA DHE NDRYSHIME NË LIGJIN NR. 9723, DATË 03.05.2007, “PËR REGJISTRIMIN E BIZNESIT”, TË NDRYSHUAR”</w:t>
      </w:r>
    </w:p>
    <w:p w:rsidR="00A92918" w:rsidRPr="00A92918" w:rsidRDefault="00A92918" w:rsidP="00A9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I.</w:t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QËLLIMI I PROJEKTAKTIT DHE OBJEKTIVAT QË SYNOHEN TË ARRIHEN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>Në kuadër të zbatimit të rekomandimeve të komitetit të ekspertëve për vlerësimin e masave kundër pastrimit të parave dhe financimit të terrorizmit (MONEYVAL) të Këshillit të Europës, dhe me qëllim rritjen e mëtejshme të transparencës lidhur me ndryshimet e ortakut dhe/ose strukutrës së ortakërisë të personit juridik, u identifikuan ndryshimet ligjore në Ligjin Nr. 9723, datë 03/05/2007, “Për regjistrimin e biznesit”, i ndryshuar, bërja e të cilave do të mundësonte rritjen e mëtejshme të transparencës lidhur me ndryshimet e ortakut dhe/ose strukutrës së ortakërisë të personit juridik.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Gjithashtu, me anë të këtij projektligji bëhen edhe disa ndryshime të tjera në Ligjin Nr. 9723/2007, përsa i përket subjekteve që detyrohen të regjistrohen në regjistrin tregtar dhe personat që lejohen të bëjnë aplikimin për regjistrimin fillestar të përsonave juridikë. 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II.</w:t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VLERËSIMI I PROJEKTAKTIT NË RAPORT ME PROGRAMIN POLITIK TË KËSHILLIT TË MINISTRAVE, ME PROGRAMIN ANALITIK TË AKTEVE DHE DOKUMENTE TË TJERA POLITIKE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>Miratimi i këtij projekt vendimi nuk është i planifikuar, në programin analitik të projekt akteve të Këshillit të Ministrave.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III. ARGUMENTIMI I PROJEKTAKTIT LIDHUR ME PËRPARËSITË, PROBLEMATIKAT, EFEKTET E PRITSHME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br/>
        <w:t xml:space="preserve">Në përfundim të procesit të vlerësimit të Shqipërisë nga Komiteti i MONEYVAL, lidhur me masat e marra nga vendi ynë </w:t>
      </w: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kundër pastrimit të parave dhe financimit të terrorizmit, </w:t>
      </w:r>
      <w:r w:rsidRPr="00A92918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Komiteti i MONEYVAL ka lënë disa rekomandime që duhen përmbushur nga Shqipëria. 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>Në kuadër të zbatimit të rekomandimeve të komitetit të ekspertëve për vlerësimin e masave kundër pastrimit të parave dhe financimit të terrorizmit (MONEYVAL) të Këshillit të Europës, dhe me qëllim rritjen e mëtejshme të transparencës lidhur me ndryshimet e ortakut dhe/ose strukutrës së ortakërisë të personit juridik, është hartuar ky projektligj, i cili mundëson rritjen e mëtejshme të transparencës lidhur me ndryshimet e ortakut dhe/ose strukutrës së ortakërisë të personit juridik.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Me anë të këtij projektligji parashikohet se aplikimi për ndryshimin e ortakut dhe/ose strukutrës së ortakërisë të personit juridik, bëhet brenda 30 ditëve  nga data e ndryshimit faktik të ortakut dhe/ose strukturës së ortakërisë, me përjashtim të rasteve të parashikuara nga ligji. 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Gjithashtu, në këtë projektligj është parashikuar se moskryerja e detyrimit për regjistrimin e ndryshimit të ortakut dhe/ose strukutrës së ortakërisë të personit juridik, brenda 30 ditëve  nga data e ndryshimit faktik të ortakut dhe/ose strukturës së ortakërisë, me përjashtim të rasteve të </w:t>
      </w: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lastRenderedPageBreak/>
        <w:t xml:space="preserve">parashikuara nga ligji, përbën kundërvajtje administrative dhe dënohet me gjobë 100 000  lekë. 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Ndërkohë, për shoqëritë aksionare, mosplotësimi i detyrimit të përcaktuar në pikën 4, të nenit 43, të këtij ligji, </w:t>
      </w:r>
      <w:r w:rsidRPr="00A92918">
        <w:rPr>
          <w:rFonts w:ascii="Times New Roman" w:eastAsia="Times New Roman" w:hAnsi="Times New Roman" w:cs="CG Times"/>
          <w:i/>
          <w:sz w:val="24"/>
          <w:szCs w:val="24"/>
          <w:lang w:val="sq-AL" w:eastAsia="zh-CN"/>
        </w:rPr>
        <w:t>ku përcaktohet se shoqëria aksionare nuk detyrohet të njoftojë çdo transferim të aksioneve. Shoqëria, së bashku me bilancin vjetor kontabël dhe raportin e auditimit, njofton listën e plotë të aksionerëve të regjistruar me të dhënat e tyre të identifikimit për aksionet nominative, si dhe numrin e përgjithshëm të të gjitha aksioneve të saj,</w:t>
      </w: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 përbën kundërvajtje administrative dhe dënohet me gjobë 100 000  lekë;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Calibri" w:hAnsi="Times New Roman" w:cs="CG Times"/>
          <w:sz w:val="24"/>
          <w:szCs w:val="24"/>
          <w:lang w:val="sq-AL" w:eastAsia="zh-CN"/>
        </w:rPr>
        <w:t xml:space="preserve">Për më tepër, me anë të këtij projektligji bëhen edhe disa ndryshime të tjera në Ligjin Nr. 9723/2007, përsa i përket subjekteve që detyrohen të regjistrohen në regjistrin tregtar dhe personat që lejohen të bëjnë aplikimin për regjistrimin fillestar të përsonave juridikë. 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IV.</w:t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VLERËSIMI I LIGJSHMËRISË, KUSHTETUTSHMËRISË DHE HARMONIZIMI ME LEGJISLACIONIN NË FUQI VENDAS E NDËRKOMBËTAR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>Projektligji është në përputhje me Kushtetutën e Shqipërisë.</w:t>
      </w:r>
    </w:p>
    <w:p w:rsidR="00A92918" w:rsidRPr="00A92918" w:rsidRDefault="00A92918" w:rsidP="00A929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V. VLERËSIMI I SHKALLËS SË PËRAFRIMIT ME </w:t>
      </w:r>
      <w:r w:rsidRPr="00A9291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ACQUIS COMMUNAUTAIRE </w:t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(PËR PROJEKTAKET NORMATIVE)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>Projektligji nuk përafron asnjë akt komunitar dhe nuk lidhet me zbatimin e ndonjë acquis specifik të BE-së.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VI.</w:t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PËRMBLEDHJE SHPJEGUESE E PËRMBAJTJES SË PROJEKTAKTIT</w:t>
      </w:r>
    </w:p>
    <w:p w:rsidR="00A92918" w:rsidRPr="00A92918" w:rsidRDefault="00A92918" w:rsidP="00A929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Me anë të këtij projektligji parashikohet se aplikimi për ndryshimin e ortakut dhe/ose strukutrës së ortakërisë të personit juridik, bëhet brenda 30 ditëve  nga data e ndryshimit faktik të ortakut dhe/ose strukturës së ortakërisë, me përjashtim të rasteve të parashikuara nga ligji. 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Gjithashtu, në këtë projektligj është parashikuar se moskryerja e detyrimit për regjistrimin e ndryshimit të ortakut dhe/ose strukutrës së ortakërisë të personit juridik, brenda 30 ditëve  nga data e ndryshimit faktik të ortakut </w:t>
      </w: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lastRenderedPageBreak/>
        <w:t xml:space="preserve">dhe/ose strukturës së ortakërisë, me përjashtim të rasteve të parashikuara nga ligji, përbën kundërvajtje administrative dhe dënohet me gjobë 100 000  lekë. 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Ndërkohë, me qëllim mospengimin e çdo aksioneri të interesuar të shoqërisë aksionare për të regjistruar çdo transferim të aksioneve nominative, por edhe me qëllim rritjen e transparencës së mëtejshme lidhur me ndryshimet e ortakut dhe/ose strukutrës së ortakërisë të personit juridik,  nuk është bërë shfuqizimi i gërmës “b”, të nenit 44, të ligjit ekzitues por në këtë projektligj është parashikuar që për shoqëritë aksionare, mosplotësimi i detyrimit të përcaktuar në pikën 4, të nenit 43, të këtij ligji, </w:t>
      </w:r>
      <w:r w:rsidRPr="00A92918">
        <w:rPr>
          <w:rFonts w:ascii="Times New Roman" w:eastAsia="Times New Roman" w:hAnsi="Times New Roman" w:cs="CG Times"/>
          <w:i/>
          <w:sz w:val="24"/>
          <w:szCs w:val="24"/>
          <w:lang w:val="sq-AL" w:eastAsia="zh-CN"/>
        </w:rPr>
        <w:t>ku përcaktohet se shoqëria aksionare nuk detyrohet të njoftojë çdo transferim të aksioneve. Shoqëria, së bashku me bilancin vjetor kontabël dhe raportin e auditimit, njofton listën e plotë të aksionerëve të regjistruar me të dhënat e tyre të identifikimit për aksionet nominative, si dhe numrin e përgjithshëm të të gjitha aksioneve të saj,</w:t>
      </w:r>
      <w:r w:rsidRPr="00A92918">
        <w:rPr>
          <w:rFonts w:ascii="Times New Roman" w:eastAsia="Times New Roman" w:hAnsi="Times New Roman" w:cs="CG Times"/>
          <w:sz w:val="24"/>
          <w:szCs w:val="24"/>
          <w:lang w:val="sq-AL" w:eastAsia="zh-CN"/>
        </w:rPr>
        <w:t xml:space="preserve"> përbën kundërvajtje administrative dhe dënohet me gjobë 100 000  lekë. megjitha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Calibri" w:hAnsi="Times New Roman" w:cs="CG Times"/>
          <w:sz w:val="24"/>
          <w:szCs w:val="24"/>
          <w:lang w:val="sq-AL" w:eastAsia="zh-CN"/>
        </w:rPr>
        <w:t xml:space="preserve">Për më tepër, me anë të këtij projektligji bëhen edhe disa ndryshime të tjera në Ligjin Nr. 9723/2007, përsa i përket subjekteve që detyrohen të regjistrohen në regjistrin tregtar </w:t>
      </w:r>
      <w:r w:rsidRPr="00A92918">
        <w:rPr>
          <w:rFonts w:ascii="Times New Roman" w:eastAsia="Calibri" w:hAnsi="Times New Roman" w:cs="CG Times"/>
          <w:sz w:val="24"/>
          <w:szCs w:val="24"/>
          <w:lang w:val="sq-AL" w:eastAsia="zh-CN"/>
        </w:rPr>
        <w:lastRenderedPageBreak/>
        <w:t>dhe personat që lejohen të bëjnë aplikimin për regjistrimin fillestar të përsonave juridikë.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CG Times"/>
          <w:sz w:val="24"/>
          <w:szCs w:val="24"/>
          <w:lang w:val="sq-AL" w:eastAsia="zh-CN"/>
        </w:rPr>
      </w:pPr>
      <w:r w:rsidRPr="00A92918">
        <w:rPr>
          <w:rFonts w:ascii="Times New Roman" w:eastAsia="Calibri" w:hAnsi="Times New Roman" w:cs="CG Times"/>
          <w:sz w:val="24"/>
          <w:szCs w:val="24"/>
          <w:lang w:val="sq-AL" w:eastAsia="zh-CN"/>
        </w:rPr>
        <w:t>Më konkretisht:</w:t>
      </w: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Calibri" w:hAnsi="Times New Roman" w:cs="CG Times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Në nenin 1, të këtij projektligji </w:t>
      </w:r>
      <w:r w:rsidRPr="00A9291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parashikohet se në nenin 22, të ligjit ekzistues, gërma “ç”, e pikës 1,  ndryshohet si vijon</w:t>
      </w:r>
      <w:r w:rsidRPr="00A92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:“ç) zyrat e përfaqësimit të shoqërive të huaja”</w:t>
      </w: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si dhe pas pikës 5, shtohet pika 6 me këtë përmbajtje: </w:t>
      </w:r>
      <w:r w:rsidRPr="00A9291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“6. Aplikimi për ndryshimin e ortakut dhe/ose strukutrës së ortakërisë të personit juridik, bëhet brenda 30 ditëve  nga data e ndryshimit faktik të ortakut dhe/ose strukturës së ortakërisë, me përjashtim të rasteve të parashikuara nga ligji .”</w:t>
      </w: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A92918" w:rsidRPr="00A92918" w:rsidRDefault="00A92918" w:rsidP="00A92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Në nenin 2, të këtij projektligji </w:t>
      </w:r>
      <w:r w:rsidRPr="00A9291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parashikohet se </w:t>
      </w: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>pika 3 e nenit 26, të ligjit ekzistohet ndryshohet si vijon:</w:t>
      </w:r>
      <w:r w:rsidRPr="00A92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A9291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“3. Aplikimi për regjistrimin fillestar të shoqërive tregtare bëhet bashkërisht nga të gjithë themeluesit ose nga administrator i shoqërisë, ose nga çdo person i autorizuar prej tyre. Aplikimi për regjistrimet e tjera bëhet nga personat përgjegjës për përfaqësimin e shoqërisë në marrëdhënie </w:t>
      </w:r>
      <w:r w:rsidRPr="00A9291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lastRenderedPageBreak/>
        <w:t>me të tretët ose çdo person i autorizuar prej tyre.Aplikimi për regjistrimin e veprimeve juridike, që lidhen pjesëmarrjet, kuotat apo aksionet, mund të kryhen, gjithashtu, dhe nga anëtari, ortaku apo aksioneri, të cilit këto i përkasin.”</w:t>
      </w:r>
    </w:p>
    <w:p w:rsidR="00A92918" w:rsidRPr="00A92918" w:rsidRDefault="00A92918" w:rsidP="00A92918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Në nenin 3, të këtij projektligji </w:t>
      </w:r>
      <w:r w:rsidRPr="00A9291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parashikohet se</w:t>
      </w:r>
      <w:r w:rsidRPr="00A92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>në nenin 74, të ligjit ekzsitues pas pikës 4 shtohet pika 5, me këtë përmbajtje:</w:t>
      </w:r>
      <w:r w:rsidRPr="00A92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A9291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“5. a) Moskryerja e detyrimit për regjistrimin e ndryshimit të ortakut dhe/ose strukutrës së ortakërisë të personit juridik, brenda 30 ditëve  nga data e ndryshimit faktik të ortakut dhe/ose strukturës së ortakërisë, me përjashtim të rasteve të parashikuara nga ligji, përbën kundërvajtje administrative dhe dënohet me gjobë                           100 000  lekë; b) Për shoqëritë aksionare, mosplotësimi i detyrimit të përcaktuar në pikën 4, të nenit 43, të këtij ligji, përbën kundërvajtje administrative dhe dënohet me gjobë                               100 000  lekë;”</w:t>
      </w:r>
    </w:p>
    <w:p w:rsidR="00A92918" w:rsidRPr="00A92918" w:rsidRDefault="00A92918" w:rsidP="00A929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VII. INSTITUCIONET DHE ORGANET QË NGARKOHEN PËR ZBATIMIN E AKTIT</w:t>
      </w:r>
    </w:p>
    <w:p w:rsidR="00A92918" w:rsidRPr="00A92918" w:rsidRDefault="00A92918" w:rsidP="00A92918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>Ngarkohet Ministria e Financave dhe Ekonomisë dhe Qendra Kombëtare e Biznesit për marrjen e masave për zbatimin e këtij projektligji.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92918" w:rsidRPr="00A92918" w:rsidRDefault="00A92918" w:rsidP="00A929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VIII.  PERSONAT DHE INSTITUCIONET QË KANË KONTRIBUAR NË HARTIMIN E PROJEKTAKTIT</w:t>
      </w:r>
    </w:p>
    <w:p w:rsidR="00A92918" w:rsidRPr="00A92918" w:rsidRDefault="00A92918" w:rsidP="00A9291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Projektligji është hartuar nga Ministria e Financave dhe Ekonomisë.</w:t>
      </w: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IX. RAPORTI I VLERËSIMIT TË TË ARDHURAVE DHE SHPENZIMEVE BUXHETORE</w:t>
      </w:r>
    </w:p>
    <w:p w:rsidR="00A92918" w:rsidRPr="00A92918" w:rsidRDefault="00A92918" w:rsidP="00A929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Ky projektligj nuk ka efekte financiare. </w:t>
      </w:r>
    </w:p>
    <w:p w:rsidR="00A92918" w:rsidRPr="00A92918" w:rsidRDefault="00A92918" w:rsidP="00A929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92918" w:rsidRPr="00A92918" w:rsidRDefault="00A92918" w:rsidP="00A929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MINISTRI I FINANCAVE DHE</w:t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EKONOMISË</w:t>
      </w:r>
    </w:p>
    <w:p w:rsidR="00A92918" w:rsidRPr="00A92918" w:rsidRDefault="00A92918" w:rsidP="00A929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73BA6" w:rsidRDefault="00A92918" w:rsidP="00A92918"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A92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ARBEN AHMETAJ</w:t>
      </w:r>
    </w:p>
    <w:sectPr w:rsidR="00D73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13"/>
    <w:rsid w:val="00605941"/>
    <w:rsid w:val="006B1013"/>
    <w:rsid w:val="00A92918"/>
    <w:rsid w:val="00D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ADFA5-BF19-4FB6-A27A-83D893CF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Saimir Mucmataj</dc:creator>
  <cp:keywords/>
  <dc:description/>
  <cp:lastModifiedBy>Amela Kora</cp:lastModifiedBy>
  <cp:revision>2</cp:revision>
  <dcterms:created xsi:type="dcterms:W3CDTF">2019-01-23T14:13:00Z</dcterms:created>
  <dcterms:modified xsi:type="dcterms:W3CDTF">2019-01-23T14:13:00Z</dcterms:modified>
</cp:coreProperties>
</file>